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3FE4" w14:textId="1200B323" w:rsidR="009550A4" w:rsidRDefault="009550A4" w:rsidP="009550A4">
      <w:pPr>
        <w:pStyle w:val="a3"/>
        <w:shd w:val="clear" w:color="auto" w:fill="FFFFFF"/>
        <w:spacing w:after="240" w:afterAutospacing="0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ІНФОРМАЦІЯ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ЩОДО СПОЖИВЧОГО КРЕДИТУ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Кредитна спілка “Кредит-Чорнобиль” відповідно до Положення  про фінансові послуги, затвердженого     рішенням Спостережної ради  кредитної спілки “Кредит-Чорнобиль” </w:t>
      </w:r>
      <w:r w:rsidR="00292EC7"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 xml:space="preserve"> </w:t>
      </w:r>
      <w:r w:rsidR="00292EC7"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березня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 xml:space="preserve"> 20</w:t>
      </w:r>
      <w:r w:rsidR="00381D05"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2</w:t>
      </w:r>
      <w:r w:rsidR="00292EC7"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 xml:space="preserve"> року, протокол № </w:t>
      </w:r>
      <w:r w:rsidR="00292EC7"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13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 xml:space="preserve"> здійснює надання коштів у позику, в тому числі і на умовах фінансового кредиту  членам кредитної спілки  на строк до 24 місяців за цільовим призначенням: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1) кредити, надані на ведення особистих селянських господарств;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2) кредити, надані на придбання, будівництво, ремонт та реконструкцію нерухомого майна;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3) споживчі кредити, у тому числі: 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придбання автотранспорту;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придбання аудіо-, відео-, побутової техніки та комп'ютерів;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інші потреби.</w:t>
      </w:r>
    </w:p>
    <w:p w14:paraId="450AFBBF" w14:textId="77777777" w:rsidR="009550A4" w:rsidRDefault="009550A4" w:rsidP="009550A4">
      <w:pPr>
        <w:pStyle w:val="a3"/>
        <w:shd w:val="clear" w:color="auto" w:fill="FFFFFF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1F4E79"/>
          <w:sz w:val="21"/>
          <w:szCs w:val="21"/>
        </w:rPr>
        <w:t>Акційні та інші аналогічні за змістом пропозиції, уключаючи термін їх дії відсутні.</w:t>
      </w:r>
    </w:p>
    <w:p w14:paraId="5168BA22" w14:textId="77777777" w:rsidR="009550A4" w:rsidRDefault="009550A4" w:rsidP="009550A4">
      <w:pPr>
        <w:pStyle w:val="a3"/>
        <w:shd w:val="clear" w:color="auto" w:fill="FFFFFF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Мінімальна сума кредиту 1000 грн.       </w:t>
      </w:r>
    </w:p>
    <w:p w14:paraId="39B98BD5" w14:textId="77777777" w:rsidR="009550A4" w:rsidRDefault="009550A4" w:rsidP="009550A4">
      <w:pPr>
        <w:pStyle w:val="a3"/>
        <w:shd w:val="clear" w:color="auto" w:fill="FFFFFF"/>
        <w:spacing w:after="240" w:afterAutospacing="0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Максимальна сума  кредиту 50000 грн.</w:t>
      </w:r>
    </w:p>
    <w:p w14:paraId="1E365049" w14:textId="77777777" w:rsidR="009550A4" w:rsidRDefault="009550A4" w:rsidP="009550A4">
      <w:pPr>
        <w:pStyle w:val="a3"/>
        <w:shd w:val="clear" w:color="auto" w:fill="FFFFFF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1F4E79"/>
          <w:sz w:val="21"/>
          <w:szCs w:val="21"/>
        </w:rPr>
        <w:t>Строк користування  </w:t>
      </w:r>
      <w:r>
        <w:rPr>
          <w:rFonts w:ascii="Arial" w:hAnsi="Arial" w:cs="Arial"/>
          <w:b/>
          <w:bCs/>
          <w:color w:val="004466"/>
          <w:sz w:val="21"/>
          <w:szCs w:val="21"/>
        </w:rPr>
        <w:t>кредитом від 3-х місяців до 24-х місяців.</w:t>
      </w:r>
    </w:p>
    <w:p w14:paraId="24B2B532" w14:textId="77777777" w:rsidR="009550A4" w:rsidRDefault="009550A4" w:rsidP="009550A4">
      <w:pPr>
        <w:pStyle w:val="a3"/>
        <w:shd w:val="clear" w:color="auto" w:fill="FFFFFF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1F4E79"/>
          <w:sz w:val="21"/>
          <w:szCs w:val="21"/>
        </w:rPr>
        <w:t>Укладання споживчих договорів  </w:t>
      </w:r>
      <w:r>
        <w:rPr>
          <w:rFonts w:ascii="Arial" w:hAnsi="Arial" w:cs="Arial"/>
          <w:b/>
          <w:bCs/>
          <w:color w:val="004466"/>
          <w:sz w:val="21"/>
          <w:szCs w:val="21"/>
        </w:rPr>
        <w:t xml:space="preserve">не пов'язано з необхідністю отримання Позичальником супровідних послуг </w:t>
      </w:r>
      <w:proofErr w:type="spellStart"/>
      <w:r>
        <w:rPr>
          <w:rFonts w:ascii="Arial" w:hAnsi="Arial" w:cs="Arial"/>
          <w:b/>
          <w:bCs/>
          <w:color w:val="004466"/>
          <w:sz w:val="21"/>
          <w:szCs w:val="21"/>
        </w:rPr>
        <w:t>Кредитодавця</w:t>
      </w:r>
      <w:proofErr w:type="spellEnd"/>
      <w:r>
        <w:rPr>
          <w:rFonts w:ascii="Arial" w:hAnsi="Arial" w:cs="Arial"/>
          <w:b/>
          <w:bCs/>
          <w:color w:val="004466"/>
          <w:sz w:val="21"/>
          <w:szCs w:val="21"/>
        </w:rPr>
        <w:t>.</w:t>
      </w:r>
    </w:p>
    <w:p w14:paraId="76DE0D3C" w14:textId="77777777" w:rsidR="009550A4" w:rsidRDefault="009550A4" w:rsidP="009550A4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1F4E79"/>
          <w:sz w:val="21"/>
          <w:szCs w:val="21"/>
        </w:rPr>
        <w:t>Укладення цього Договору не пов'язано з необхідністю отримання Позичальником супровідних послуг  </w:t>
      </w:r>
      <w:r>
        <w:rPr>
          <w:rFonts w:ascii="Arial" w:hAnsi="Arial" w:cs="Arial"/>
          <w:b/>
          <w:bCs/>
          <w:color w:val="004466"/>
          <w:sz w:val="21"/>
          <w:szCs w:val="21"/>
        </w:rPr>
        <w:t>кредитного посередника або третіх осіб.</w:t>
      </w:r>
    </w:p>
    <w:p w14:paraId="3FAEC157" w14:textId="77777777" w:rsidR="009550A4" w:rsidRDefault="009550A4" w:rsidP="00C770A4">
      <w:pPr>
        <w:pStyle w:val="a3"/>
        <w:shd w:val="clear" w:color="auto" w:fill="FFFFFF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 </w:t>
      </w:r>
    </w:p>
    <w:p w14:paraId="2E3BFAE7" w14:textId="77777777" w:rsidR="009550A4" w:rsidRDefault="009550A4" w:rsidP="00C770A4">
      <w:pPr>
        <w:pStyle w:val="a3"/>
        <w:shd w:val="clear" w:color="auto" w:fill="FFFFFF"/>
        <w:rPr>
          <w:rFonts w:ascii="Arial" w:hAnsi="Arial" w:cs="Arial"/>
          <w:color w:val="004466"/>
          <w:sz w:val="21"/>
          <w:szCs w:val="21"/>
        </w:rPr>
      </w:pP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t>Кредит надається позичальнику в готівковій формі.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Кредит видається однією сумою під  фіксовану процентну ставку.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Обов’язковою  умовою щодо надання кредитів є наявність у члена кредитної спілки - позичальника встановленої суми внесків під забезпечення кредиту ( від 15-до 20 відсотків від суми кредиту).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Забезпеченням виконання зобов’язань за кредитними договорами  є порука.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Сплати процентів і основної суми кредиту здійснюється з періодичною сплатою процентів і періодичною сплатою рівних часток основної суми кредиту, які розраховуються шляхом ділення загальної суми наданого кредиту на кількість періодів користування кредитом. 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Розмір річної фіксованої процентної ставки встановлено Спостережною радою кредитної спілки в розмірі 48% на залишок суми непогашеного кредиту.</w:t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  <w:shd w:val="clear" w:color="auto" w:fill="FFFFFF"/>
        </w:rPr>
        <w:br/>
        <w:t>Реальна фіксована ставка  залежить від суми та строку, на які видається кредит і становить від 60,11 до  </w:t>
      </w:r>
      <w:r>
        <w:rPr>
          <w:rFonts w:ascii="Arial" w:hAnsi="Arial" w:cs="Arial"/>
          <w:b/>
          <w:bCs/>
          <w:color w:val="004466"/>
          <w:sz w:val="21"/>
          <w:szCs w:val="21"/>
        </w:rPr>
        <w:t>60,12 відсотків.</w:t>
      </w:r>
      <w:r>
        <w:rPr>
          <w:rFonts w:ascii="Arial" w:hAnsi="Arial" w:cs="Arial"/>
          <w:b/>
          <w:bCs/>
          <w:color w:val="004466"/>
          <w:sz w:val="21"/>
          <w:szCs w:val="21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</w:rPr>
        <w:br/>
        <w:t>Фіксована процентна ставка є незмінною протягом усього строку кредитного договору. </w:t>
      </w:r>
      <w:r>
        <w:rPr>
          <w:rFonts w:ascii="Arial" w:hAnsi="Arial" w:cs="Arial"/>
          <w:b/>
          <w:bCs/>
          <w:color w:val="004466"/>
          <w:sz w:val="21"/>
          <w:szCs w:val="21"/>
        </w:rPr>
        <w:br/>
      </w:r>
      <w:r>
        <w:rPr>
          <w:rFonts w:ascii="Arial" w:hAnsi="Arial" w:cs="Arial"/>
          <w:b/>
          <w:bCs/>
          <w:color w:val="004466"/>
          <w:sz w:val="21"/>
          <w:szCs w:val="21"/>
        </w:rPr>
        <w:br/>
        <w:t>Наявність довідок  про доходи позичальника та поручителя  обов'язкова. </w:t>
      </w:r>
    </w:p>
    <w:p w14:paraId="20DFE900" w14:textId="3D9FC440" w:rsidR="009550A4" w:rsidRDefault="009550A4" w:rsidP="00C770A4">
      <w:pPr>
        <w:pStyle w:val="a3"/>
        <w:shd w:val="clear" w:color="auto" w:fill="FFFFFF"/>
      </w:pPr>
      <w:r>
        <w:rPr>
          <w:rFonts w:ascii="Arial" w:hAnsi="Arial" w:cs="Arial"/>
          <w:b/>
          <w:bCs/>
          <w:color w:val="1F4E79"/>
          <w:sz w:val="21"/>
          <w:szCs w:val="21"/>
        </w:rPr>
        <w:t>Гіперпосилання на веб-сайт фінансової установи, де розміщено умови договору (уключаючи його публічну частину, оферти) та інших типових договорів про надання споживчого кредиту, внутрішні правила надання фінансових послуг фінансовою установою</w:t>
      </w:r>
      <w:r>
        <w:rPr>
          <w:rFonts w:ascii="Arial" w:hAnsi="Arial" w:cs="Arial"/>
          <w:color w:val="004466"/>
          <w:sz w:val="21"/>
          <w:szCs w:val="21"/>
        </w:rPr>
        <w:t> -</w:t>
      </w:r>
      <w:r w:rsidR="00DB66F3" w:rsidRPr="00DB66F3">
        <w:rPr>
          <w:rFonts w:ascii="Arial" w:hAnsi="Arial" w:cs="Arial"/>
          <w:b/>
          <w:bCs/>
          <w:color w:val="004466"/>
        </w:rPr>
        <w:t>http://kch.naksu.org.ua/</w:t>
      </w:r>
      <w:r w:rsidRPr="00DB66F3">
        <w:rPr>
          <w:rFonts w:ascii="Arial" w:hAnsi="Arial" w:cs="Arial"/>
          <w:b/>
          <w:bCs/>
          <w:color w:val="004466"/>
        </w:rPr>
        <w:t>.</w:t>
      </w:r>
    </w:p>
    <w:sectPr w:rsidR="009550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A4"/>
    <w:rsid w:val="00292EC7"/>
    <w:rsid w:val="00381D05"/>
    <w:rsid w:val="009550A4"/>
    <w:rsid w:val="00C770A4"/>
    <w:rsid w:val="00D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61D4"/>
  <w15:chartTrackingRefBased/>
  <w15:docId w15:val="{F0AC5D6A-0370-4E8A-82F2-ADC614F4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955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Мельник</dc:creator>
  <cp:keywords/>
  <dc:description/>
  <cp:lastModifiedBy>Тетяна Мельник</cp:lastModifiedBy>
  <cp:revision>4</cp:revision>
  <dcterms:created xsi:type="dcterms:W3CDTF">2024-01-18T10:04:00Z</dcterms:created>
  <dcterms:modified xsi:type="dcterms:W3CDTF">2024-01-22T07:11:00Z</dcterms:modified>
</cp:coreProperties>
</file>